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Fonts w:cs="Arial" w:ascii="Arial" w:hAnsi="Arial"/>
          <w:b/>
          <w:bCs/>
          <w:sz w:val="24"/>
          <w:szCs w:val="24"/>
        </w:rPr>
        <w:t>PFANNKUCHEN – PROTEINANGEREICHERT</w:t>
      </w:r>
    </w:p>
    <w:p>
      <w:pPr>
        <w:pStyle w:val="Normal"/>
        <w:rPr>
          <w:rFonts w:ascii="Arial" w:hAnsi="Arial" w:cs="Arial"/>
          <w:i/>
          <w:i/>
          <w:iCs/>
          <w:sz w:val="20"/>
          <w:szCs w:val="20"/>
        </w:rPr>
      </w:pPr>
      <w:r>
        <w:rPr>
          <w:rFonts w:cs="Arial" w:ascii="Arial" w:hAnsi="Arial"/>
          <w:i/>
          <w:iCs/>
          <w:sz w:val="20"/>
          <w:szCs w:val="20"/>
        </w:rPr>
        <w:t>Pulver</w:t>
      </w:r>
    </w:p>
    <w:p>
      <w:pPr>
        <w:pStyle w:val="Normal"/>
        <w:rPr>
          <w:rFonts w:ascii="Arial" w:hAnsi="Arial" w:cs="Arial"/>
          <w:i/>
          <w:i/>
          <w:iCs/>
          <w:sz w:val="20"/>
          <w:szCs w:val="20"/>
        </w:rPr>
      </w:pPr>
      <w:r>
        <w:rPr>
          <w:rFonts w:cs="Arial" w:ascii="Arial" w:hAnsi="Arial"/>
          <w:i/>
          <w:iCs/>
          <w:sz w:val="20"/>
          <w:szCs w:val="20"/>
        </w:rPr>
      </w:r>
    </w:p>
    <w:p>
      <w:pPr>
        <w:pStyle w:val="Normal"/>
        <w:rPr/>
      </w:pPr>
      <w:r>
        <w:rPr>
          <w:b/>
          <w:bCs/>
        </w:rPr>
        <w:t>Pfannkuchen klassisch</w:t>
      </w:r>
    </w:p>
    <w:p>
      <w:pPr>
        <w:pStyle w:val="Normal"/>
        <w:rPr/>
      </w:pPr>
      <w:r>
        <w:rPr>
          <w:rFonts w:cs="Arial" w:ascii="Arial" w:hAnsi="Arial"/>
          <w:sz w:val="20"/>
          <w:szCs w:val="20"/>
        </w:rPr>
        <w:t>Backmischung zur Herstellung von proteinreichen Pfannkuchen - salzig ohne Zuckerzusatz und Süßungsmitteln.</w:t>
      </w:r>
    </w:p>
    <w:p>
      <w:pPr>
        <w:pStyle w:val="Normal"/>
        <w:spacing w:before="0" w:after="0"/>
        <w:rPr>
          <w:rFonts w:ascii="Arial" w:hAnsi="Arial" w:cs="Arial"/>
          <w:sz w:val="20"/>
          <w:szCs w:val="20"/>
        </w:rPr>
      </w:pPr>
      <w:r>
        <w:rPr>
          <w:rFonts w:cs="Arial" w:ascii="Arial" w:hAnsi="Arial"/>
          <w:sz w:val="20"/>
          <w:szCs w:val="20"/>
        </w:rPr>
        <w:t>Nettofüllmenge: 550 g (ergibt 10 Servings)</w:t>
      </w:r>
    </w:p>
    <w:p>
      <w:pPr>
        <w:pStyle w:val="Normal"/>
        <w:spacing w:before="0" w:after="0"/>
        <w:rPr/>
      </w:pPr>
      <w:r>
        <w:rPr>
          <w:rFonts w:cs="Arial" w:ascii="Arial" w:hAnsi="Arial"/>
          <w:sz w:val="20"/>
          <w:szCs w:val="20"/>
        </w:rPr>
        <w:t>Geschmacksrichtung: -</w:t>
      </w:r>
    </w:p>
    <w:p>
      <w:pPr>
        <w:pStyle w:val="Normal"/>
        <w:spacing w:before="0" w:after="0"/>
        <w:rPr>
          <w:rFonts w:ascii="Arial" w:hAnsi="Arial" w:cs="Arial"/>
          <w:sz w:val="20"/>
          <w:szCs w:val="20"/>
        </w:rPr>
      </w:pPr>
      <w:r>
        <w:rPr>
          <w:rFonts w:cs="Arial" w:ascii="Arial" w:hAnsi="Arial"/>
          <w:sz w:val="20"/>
          <w:szCs w:val="20"/>
        </w:rPr>
      </w:r>
    </w:p>
    <w:p>
      <w:pPr>
        <w:pStyle w:val="Normal"/>
        <w:rPr/>
      </w:pPr>
      <w:r>
        <w:rPr/>
      </w:r>
    </w:p>
    <w:p>
      <w:pPr>
        <w:pStyle w:val="Normal"/>
        <w:rPr>
          <w:rFonts w:ascii="Arial" w:hAnsi="Arial" w:cs="Arial"/>
          <w:b/>
          <w:b/>
          <w:bCs/>
          <w:sz w:val="20"/>
          <w:szCs w:val="20"/>
        </w:rPr>
      </w:pPr>
      <w:r>
        <w:rPr>
          <w:rFonts w:cs="Arial" w:ascii="Arial" w:hAnsi="Arial"/>
          <w:b/>
          <w:bCs/>
          <w:sz w:val="20"/>
          <w:szCs w:val="20"/>
        </w:rPr>
        <w:t>Zubereitung</w:t>
      </w:r>
    </w:p>
    <w:p>
      <w:pPr>
        <w:pStyle w:val="EinfAbs"/>
        <w:spacing w:before="0" w:after="57"/>
        <w:rPr/>
      </w:pPr>
      <w:r>
        <w:rPr>
          <w:rFonts w:cs="Arial" w:ascii="Arial" w:hAnsi="Arial"/>
          <w:sz w:val="20"/>
          <w:szCs w:val="20"/>
        </w:rPr>
        <w:t>Für zwei Pfannkuchen 100 g Pulver° mit 200 ml Wasser vermengen und zu einem glatten Teig rühren. Eine große beschichtete Pfanne mit etwas Öl erhitzen. Einen vollen großen Schöpflöffel Teig in die Pfanne geben, die Pfanne kurz in jede Richtung schwenken und den Teig verteilen. Den Pfannkuchen von beiden Seiten jeweils etwa 1-2 Minuten goldbraun ausbacken. Tipp: Für fluffige Pfannkuchen die Hälfte des Wassers mit Mineralwasser ersetzen.</w:t>
      </w:r>
    </w:p>
    <w:p>
      <w:pPr>
        <w:pStyle w:val="EinfAbs"/>
        <w:spacing w:before="0" w:after="57"/>
        <w:rPr>
          <w:rFonts w:ascii="Arial" w:hAnsi="Arial" w:cs="Arial"/>
          <w:sz w:val="20"/>
          <w:szCs w:val="20"/>
        </w:rPr>
      </w:pPr>
      <w:r>
        <w:rPr/>
      </w:r>
    </w:p>
    <w:p>
      <w:pPr>
        <w:pStyle w:val="Normal"/>
        <w:rPr/>
      </w:pPr>
      <w:r>
        <w:rPr>
          <w:rFonts w:cs="Arial" w:ascii="Arial" w:hAnsi="Arial"/>
          <w:sz w:val="20"/>
          <w:szCs w:val="20"/>
        </w:rPr>
        <w:t>°) entspricht 3 gestrichenen Messlöffeln, bitte abwiegen.</w:t>
      </w:r>
    </w:p>
    <w:p>
      <w:pPr>
        <w:pStyle w:val="Normal"/>
        <w:rPr>
          <w:rFonts w:ascii="Arial" w:hAnsi="Arial" w:cs="Arial"/>
          <w:sz w:val="20"/>
          <w:szCs w:val="20"/>
        </w:rPr>
      </w:pPr>
      <w:r>
        <w:rPr>
          <w:rFonts w:cs="Arial" w:ascii="Arial" w:hAnsi="Arial"/>
          <w:sz w:val="20"/>
          <w:szCs w:val="20"/>
        </w:rPr>
      </w:r>
    </w:p>
    <w:p>
      <w:pPr>
        <w:pStyle w:val="Normal"/>
        <w:rPr>
          <w:rFonts w:ascii="Arial" w:hAnsi="Arial"/>
          <w:sz w:val="20"/>
          <w:szCs w:val="20"/>
        </w:rPr>
      </w:pPr>
      <w:r>
        <w:rPr>
          <w:rFonts w:cs="Arial" w:ascii="Arial" w:hAnsi="Arial"/>
          <w:b/>
          <w:bCs/>
          <w:sz w:val="20"/>
          <w:szCs w:val="20"/>
        </w:rPr>
        <w:t>Nährwerte</w:t>
      </w:r>
    </w:p>
    <w:tbl>
      <w:tblPr>
        <w:tblW w:w="9346" w:type="dxa"/>
        <w:jc w:val="left"/>
        <w:tblInd w:w="-30" w:type="dxa"/>
        <w:tblCellMar>
          <w:top w:w="55" w:type="dxa"/>
          <w:left w:w="55" w:type="dxa"/>
          <w:bottom w:w="55" w:type="dxa"/>
          <w:right w:w="55" w:type="dxa"/>
        </w:tblCellMar>
      </w:tblPr>
      <w:tblGrid>
        <w:gridCol w:w="3245"/>
        <w:gridCol w:w="1826"/>
        <w:gridCol w:w="1331"/>
        <w:gridCol w:w="1717"/>
        <w:gridCol w:w="1227"/>
      </w:tblGrid>
      <w:tr>
        <w:trPr>
          <w:trHeight w:val="120" w:hRule="atLeast"/>
        </w:trPr>
        <w:tc>
          <w:tcPr>
            <w:tcW w:w="3245" w:type="dxa"/>
            <w:tcBorders/>
            <w:shd w:fill="auto" w:val="clear"/>
            <w:vAlign w:val="bottom"/>
          </w:tcPr>
          <w:p>
            <w:pPr>
              <w:pStyle w:val="Normal"/>
              <w:tabs>
                <w:tab w:val="clear" w:pos="720"/>
              </w:tabs>
              <w:spacing w:lineRule="auto" w:line="240" w:before="0" w:after="0"/>
              <w:jc w:val="left"/>
              <w:rPr>
                <w:rFonts w:ascii="Arial" w:hAnsi="Arial"/>
                <w:b/>
                <w:b/>
                <w:bCs/>
                <w:sz w:val="20"/>
                <w:szCs w:val="20"/>
              </w:rPr>
            </w:pPr>
            <w:r>
              <w:rPr>
                <w:rFonts w:cs="Arial" w:ascii="Arial" w:hAnsi="Arial"/>
                <w:b/>
                <w:bCs/>
                <w:sz w:val="20"/>
                <w:szCs w:val="20"/>
              </w:rPr>
              <w:t>Durchschnittlicher Gehalt</w:t>
            </w:r>
          </w:p>
        </w:tc>
        <w:tc>
          <w:tcPr>
            <w:tcW w:w="1826" w:type="dxa"/>
            <w:tcBorders/>
            <w:shd w:fill="auto" w:val="clear"/>
            <w:vAlign w:val="bottom"/>
          </w:tcPr>
          <w:p>
            <w:pPr>
              <w:pStyle w:val="Normal"/>
              <w:tabs>
                <w:tab w:val="clear" w:pos="720"/>
              </w:tabs>
              <w:spacing w:lineRule="auto" w:line="240" w:before="0" w:after="0"/>
              <w:jc w:val="left"/>
              <w:rPr>
                <w:rFonts w:ascii="Arial" w:hAnsi="Arial"/>
                <w:b/>
                <w:b/>
                <w:bCs/>
                <w:sz w:val="20"/>
                <w:szCs w:val="20"/>
              </w:rPr>
            </w:pPr>
            <w:r>
              <w:rPr>
                <w:rFonts w:ascii="Arial" w:hAnsi="Arial"/>
                <w:b/>
                <w:bCs/>
                <w:sz w:val="20"/>
                <w:szCs w:val="20"/>
              </w:rPr>
              <w:t>pro 100 g</w:t>
            </w:r>
          </w:p>
        </w:tc>
        <w:tc>
          <w:tcPr>
            <w:tcW w:w="1331" w:type="dxa"/>
            <w:tcBorders/>
            <w:shd w:fill="auto" w:val="clear"/>
            <w:vAlign w:val="bottom"/>
          </w:tcPr>
          <w:p>
            <w:pPr>
              <w:pStyle w:val="Normal"/>
              <w:tabs>
                <w:tab w:val="clear" w:pos="720"/>
              </w:tabs>
              <w:spacing w:lineRule="auto" w:line="240" w:before="0" w:after="0"/>
              <w:jc w:val="left"/>
              <w:rPr>
                <w:rFonts w:ascii="Arial" w:hAnsi="Arial"/>
                <w:b/>
                <w:b/>
                <w:bCs/>
                <w:sz w:val="20"/>
                <w:szCs w:val="20"/>
              </w:rPr>
            </w:pPr>
            <w:r>
              <w:rPr>
                <w:rFonts w:ascii="Arial" w:hAnsi="Arial"/>
                <w:b/>
                <w:bCs/>
                <w:sz w:val="20"/>
                <w:szCs w:val="20"/>
              </w:rPr>
              <w:t>RM**</w:t>
            </w:r>
          </w:p>
        </w:tc>
        <w:tc>
          <w:tcPr>
            <w:tcW w:w="1717" w:type="dxa"/>
            <w:tcBorders/>
            <w:shd w:fill="auto" w:val="clear"/>
            <w:vAlign w:val="bottom"/>
          </w:tcPr>
          <w:p>
            <w:pPr>
              <w:pStyle w:val="Normal"/>
              <w:tabs>
                <w:tab w:val="clear" w:pos="720"/>
              </w:tabs>
              <w:spacing w:lineRule="auto" w:line="240" w:before="0" w:after="0"/>
              <w:jc w:val="left"/>
              <w:rPr>
                <w:rFonts w:ascii="Arial" w:hAnsi="Arial"/>
                <w:b/>
                <w:b/>
                <w:bCs/>
                <w:sz w:val="20"/>
                <w:szCs w:val="20"/>
              </w:rPr>
            </w:pPr>
            <w:r>
              <w:rPr>
                <w:rFonts w:ascii="Arial" w:hAnsi="Arial"/>
                <w:b/>
                <w:bCs/>
                <w:sz w:val="20"/>
                <w:szCs w:val="20"/>
              </w:rPr>
              <w:t>pro Portion*</w:t>
            </w:r>
          </w:p>
        </w:tc>
        <w:tc>
          <w:tcPr>
            <w:tcW w:w="1227" w:type="dxa"/>
            <w:tcBorders/>
            <w:shd w:fill="auto" w:val="clear"/>
            <w:vAlign w:val="bottom"/>
          </w:tcPr>
          <w:p>
            <w:pPr>
              <w:pStyle w:val="Normal"/>
              <w:tabs>
                <w:tab w:val="clear" w:pos="720"/>
              </w:tabs>
              <w:spacing w:lineRule="auto" w:line="240" w:before="0" w:after="0"/>
              <w:jc w:val="left"/>
              <w:rPr>
                <w:rFonts w:ascii="Arial" w:hAnsi="Arial"/>
                <w:b/>
                <w:b/>
                <w:bCs/>
                <w:sz w:val="20"/>
                <w:szCs w:val="20"/>
              </w:rPr>
            </w:pPr>
            <w:r>
              <w:rPr>
                <w:rFonts w:ascii="Arial" w:hAnsi="Arial"/>
                <w:b/>
                <w:bCs/>
                <w:sz w:val="20"/>
                <w:szCs w:val="20"/>
              </w:rPr>
              <w:t>RM**</w:t>
            </w:r>
          </w:p>
        </w:tc>
      </w:tr>
      <w:tr>
        <w:trPr>
          <w:trHeight w:val="256" w:hRule="atLeast"/>
        </w:trPr>
        <w:tc>
          <w:tcPr>
            <w:tcW w:w="3245"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Physiologischer Brennwert</w:t>
            </w:r>
          </w:p>
        </w:tc>
        <w:tc>
          <w:tcPr>
            <w:tcW w:w="1826"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1508 kJ / 356 kcal</w:t>
            </w:r>
          </w:p>
        </w:tc>
        <w:tc>
          <w:tcPr>
            <w:tcW w:w="1331"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18,00 %</w:t>
            </w:r>
          </w:p>
        </w:tc>
        <w:tc>
          <w:tcPr>
            <w:tcW w:w="171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754 kJ / 178 kcal</w:t>
            </w:r>
          </w:p>
        </w:tc>
        <w:tc>
          <w:tcPr>
            <w:tcW w:w="122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9,00 %</w:t>
            </w:r>
          </w:p>
        </w:tc>
      </w:tr>
      <w:tr>
        <w:trPr>
          <w:trHeight w:val="477" w:hRule="atLeast"/>
        </w:trPr>
        <w:tc>
          <w:tcPr>
            <w:tcW w:w="3245"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Fett</w:t>
              <w:br/>
              <w:t>&gt; davon gesättigte Fettsäuren</w:t>
            </w:r>
          </w:p>
        </w:tc>
        <w:tc>
          <w:tcPr>
            <w:tcW w:w="1826"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4 g</w:t>
              <w:br/>
              <w:t>1 g</w:t>
            </w:r>
          </w:p>
        </w:tc>
        <w:tc>
          <w:tcPr>
            <w:tcW w:w="1331"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5,8 %</w:t>
              <w:br/>
              <w:t>5,1 %</w:t>
            </w:r>
          </w:p>
        </w:tc>
        <w:tc>
          <w:tcPr>
            <w:tcW w:w="171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2 g</w:t>
              <w:br/>
              <w:t>0,5 g</w:t>
            </w:r>
          </w:p>
        </w:tc>
        <w:tc>
          <w:tcPr>
            <w:tcW w:w="122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2,9 %</w:t>
              <w:br/>
              <w:t>2,6 %</w:t>
            </w:r>
          </w:p>
        </w:tc>
      </w:tr>
      <w:tr>
        <w:trPr>
          <w:trHeight w:val="477" w:hRule="atLeast"/>
        </w:trPr>
        <w:tc>
          <w:tcPr>
            <w:tcW w:w="3245"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Kohlenhydrate</w:t>
              <w:br/>
              <w:t>&gt; davon Zucker</w:t>
            </w:r>
          </w:p>
        </w:tc>
        <w:tc>
          <w:tcPr>
            <w:tcW w:w="1826"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59,2 g</w:t>
              <w:br/>
              <w:t>3,5 g</w:t>
            </w:r>
          </w:p>
        </w:tc>
        <w:tc>
          <w:tcPr>
            <w:tcW w:w="1331"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22,8 %</w:t>
              <w:br/>
              <w:t>3,9 %</w:t>
            </w:r>
          </w:p>
        </w:tc>
        <w:tc>
          <w:tcPr>
            <w:tcW w:w="171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29,6 g</w:t>
              <w:br/>
              <w:t>1,75 g</w:t>
            </w:r>
          </w:p>
        </w:tc>
        <w:tc>
          <w:tcPr>
            <w:tcW w:w="122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11,4 %</w:t>
              <w:br/>
              <w:t>2 %</w:t>
            </w:r>
          </w:p>
        </w:tc>
      </w:tr>
      <w:tr>
        <w:trPr>
          <w:trHeight w:val="256" w:hRule="atLeast"/>
        </w:trPr>
        <w:tc>
          <w:tcPr>
            <w:tcW w:w="3245"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Ballaststoffe</w:t>
            </w:r>
          </w:p>
        </w:tc>
        <w:tc>
          <w:tcPr>
            <w:tcW w:w="1826"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3,2 g</w:t>
            </w:r>
          </w:p>
        </w:tc>
        <w:tc>
          <w:tcPr>
            <w:tcW w:w="1331"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w:t>
            </w:r>
          </w:p>
        </w:tc>
        <w:tc>
          <w:tcPr>
            <w:tcW w:w="171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1,6 g</w:t>
            </w:r>
          </w:p>
        </w:tc>
        <w:tc>
          <w:tcPr>
            <w:tcW w:w="122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w:t>
            </w:r>
          </w:p>
        </w:tc>
      </w:tr>
      <w:tr>
        <w:trPr>
          <w:trHeight w:val="256" w:hRule="atLeast"/>
        </w:trPr>
        <w:tc>
          <w:tcPr>
            <w:tcW w:w="3245"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Eiweiß</w:t>
            </w:r>
          </w:p>
        </w:tc>
        <w:tc>
          <w:tcPr>
            <w:tcW w:w="1826"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19,1 g</w:t>
            </w:r>
          </w:p>
        </w:tc>
        <w:tc>
          <w:tcPr>
            <w:tcW w:w="1331"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38,30 %</w:t>
            </w:r>
          </w:p>
        </w:tc>
        <w:tc>
          <w:tcPr>
            <w:tcW w:w="171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9,55 g</w:t>
            </w:r>
          </w:p>
        </w:tc>
        <w:tc>
          <w:tcPr>
            <w:tcW w:w="122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19,20 %</w:t>
            </w:r>
          </w:p>
        </w:tc>
      </w:tr>
      <w:tr>
        <w:trPr>
          <w:trHeight w:val="256" w:hRule="atLeast"/>
        </w:trPr>
        <w:tc>
          <w:tcPr>
            <w:tcW w:w="3245"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Salz***</w:t>
            </w:r>
          </w:p>
        </w:tc>
        <w:tc>
          <w:tcPr>
            <w:tcW w:w="1826"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1,6 g</w:t>
            </w:r>
          </w:p>
        </w:tc>
        <w:tc>
          <w:tcPr>
            <w:tcW w:w="1331"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26,70 %</w:t>
            </w:r>
          </w:p>
        </w:tc>
        <w:tc>
          <w:tcPr>
            <w:tcW w:w="171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0,8 g</w:t>
            </w:r>
          </w:p>
        </w:tc>
        <w:tc>
          <w:tcPr>
            <w:tcW w:w="122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13,40 %</w:t>
            </w:r>
          </w:p>
        </w:tc>
      </w:tr>
      <w:tr>
        <w:trPr>
          <w:trHeight w:val="256" w:hRule="atLeast"/>
        </w:trPr>
        <w:tc>
          <w:tcPr>
            <w:tcW w:w="3245"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Salz</w:t>
            </w:r>
          </w:p>
        </w:tc>
        <w:tc>
          <w:tcPr>
            <w:tcW w:w="1826"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0,72 g</w:t>
            </w:r>
          </w:p>
        </w:tc>
        <w:tc>
          <w:tcPr>
            <w:tcW w:w="1331"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12,00 %</w:t>
            </w:r>
          </w:p>
        </w:tc>
        <w:tc>
          <w:tcPr>
            <w:tcW w:w="171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0,4 g</w:t>
            </w:r>
          </w:p>
        </w:tc>
        <w:tc>
          <w:tcPr>
            <w:tcW w:w="1227" w:type="dxa"/>
            <w:tcBorders/>
            <w:shd w:fill="auto" w:val="clear"/>
            <w:vAlign w:val="bottom"/>
          </w:tcPr>
          <w:p>
            <w:pPr>
              <w:pStyle w:val="Normal"/>
              <w:tabs>
                <w:tab w:val="clear" w:pos="720"/>
              </w:tabs>
              <w:spacing w:lineRule="auto" w:line="240" w:before="0" w:after="0"/>
              <w:jc w:val="left"/>
              <w:rPr>
                <w:rFonts w:ascii="Arial" w:hAnsi="Arial"/>
                <w:sz w:val="20"/>
                <w:szCs w:val="20"/>
              </w:rPr>
            </w:pPr>
            <w:r>
              <w:rPr>
                <w:rFonts w:ascii="Arial" w:hAnsi="Arial"/>
                <w:sz w:val="20"/>
                <w:szCs w:val="20"/>
              </w:rPr>
              <w:t>7,00 %</w:t>
            </w:r>
          </w:p>
        </w:tc>
      </w:tr>
    </w:tbl>
    <w:p>
      <w:pPr>
        <w:pStyle w:val="Normal"/>
        <w:rPr>
          <w:rFonts w:ascii="Arial" w:hAnsi="Arial" w:cs="Arial"/>
          <w:b/>
          <w:b/>
          <w:bCs/>
          <w:sz w:val="20"/>
          <w:szCs w:val="20"/>
        </w:rPr>
      </w:pPr>
      <w:r>
        <w:rPr/>
      </w:r>
    </w:p>
    <w:p>
      <w:pPr>
        <w:pStyle w:val="Normal"/>
        <w:rPr/>
      </w:pPr>
      <w:r>
        <w:rPr>
          <w:rFonts w:cs="Arial" w:ascii="Arial" w:hAnsi="Arial"/>
          <w:sz w:val="20"/>
          <w:szCs w:val="20"/>
        </w:rPr>
        <w:t>*) Eine Portion entspricht 50 g Pulver.</w:t>
      </w:r>
    </w:p>
    <w:p>
      <w:pPr>
        <w:pStyle w:val="Normal"/>
        <w:rPr/>
      </w:pPr>
      <w:r>
        <w:rPr>
          <w:rFonts w:cs="Arial" w:ascii="Arial" w:hAnsi="Arial"/>
          <w:sz w:val="20"/>
          <w:szCs w:val="20"/>
        </w:rPr>
        <w:t xml:space="preserve">**) Die Prozentangaben beziehen sich auf die Referenzmenge für einen durchschnittlichen Erwachsenen (2.000 kcal pro Tag). </w:t>
      </w:r>
    </w:p>
    <w:p>
      <w:pPr>
        <w:pStyle w:val="Normal"/>
        <w:rPr/>
      </w:pPr>
      <w:r>
        <w:rPr>
          <w:rFonts w:cs="Arial" w:ascii="Arial" w:hAnsi="Arial"/>
          <w:sz w:val="20"/>
          <w:szCs w:val="20"/>
        </w:rPr>
        <w:t>***) Natrium nur 0,64 g pro 100 g.</w:t>
      </w:r>
    </w:p>
    <w:p>
      <w:pPr>
        <w:pStyle w:val="Normal"/>
        <w:rPr>
          <w:rFonts w:ascii="Arial" w:hAnsi="Arial" w:cs="Arial"/>
          <w:sz w:val="20"/>
          <w:szCs w:val="20"/>
        </w:rPr>
      </w:pPr>
      <w:r>
        <w:rPr>
          <w:rFonts w:cs="Arial" w:ascii="Arial" w:hAnsi="Arial"/>
          <w:sz w:val="20"/>
          <w:szCs w:val="20"/>
        </w:rPr>
      </w:r>
    </w:p>
    <w:p>
      <w:pPr>
        <w:pStyle w:val="Normal"/>
        <w:rPr/>
      </w:pPr>
      <w:r>
        <w:rPr>
          <w:rFonts w:cs="Arial" w:ascii="Arial" w:hAnsi="Arial"/>
          <w:sz w:val="20"/>
          <w:szCs w:val="20"/>
        </w:rPr>
        <w:t xml:space="preserve">Zutaten: </w:t>
      </w:r>
      <w:r>
        <w:rPr>
          <w:rFonts w:cs="Arial" w:ascii="Arial" w:hAnsi="Arial"/>
          <w:i/>
          <w:iCs/>
          <w:sz w:val="20"/>
          <w:szCs w:val="20"/>
        </w:rPr>
        <w:t>Dinkelmehl</w:t>
      </w:r>
      <w:r>
        <w:rPr>
          <w:rFonts w:cs="Arial" w:ascii="Arial" w:hAnsi="Arial"/>
          <w:sz w:val="20"/>
          <w:szCs w:val="20"/>
        </w:rPr>
        <w:t xml:space="preserve">, </w:t>
      </w:r>
      <w:r>
        <w:rPr>
          <w:rFonts w:cs="Arial" w:ascii="Arial" w:hAnsi="Arial"/>
          <w:i/>
          <w:iCs/>
          <w:sz w:val="20"/>
          <w:szCs w:val="20"/>
        </w:rPr>
        <w:t>Hühnervolleipulver</w:t>
      </w:r>
      <w:r>
        <w:rPr>
          <w:rFonts w:cs="Arial" w:ascii="Arial" w:hAnsi="Arial"/>
          <w:sz w:val="20"/>
          <w:szCs w:val="20"/>
        </w:rPr>
        <w:t xml:space="preserve">, </w:t>
      </w:r>
      <w:r>
        <w:rPr>
          <w:rFonts w:cs="Arial" w:ascii="Arial" w:hAnsi="Arial"/>
          <w:i/>
          <w:iCs/>
          <w:sz w:val="20"/>
          <w:szCs w:val="20"/>
        </w:rPr>
        <w:t>Magermilchpulver</w:t>
      </w:r>
      <w:r>
        <w:rPr>
          <w:rFonts w:cs="Arial" w:ascii="Arial" w:hAnsi="Arial"/>
          <w:sz w:val="20"/>
          <w:szCs w:val="20"/>
        </w:rPr>
        <w:t xml:space="preserve">, </w:t>
      </w:r>
      <w:r>
        <w:rPr>
          <w:rFonts w:cs="Arial" w:ascii="Arial" w:hAnsi="Arial"/>
          <w:i/>
          <w:iCs/>
          <w:sz w:val="20"/>
          <w:szCs w:val="20"/>
        </w:rPr>
        <w:t>Hühnereiweißpulver</w:t>
      </w:r>
      <w:r>
        <w:rPr>
          <w:rFonts w:cs="Arial" w:ascii="Arial" w:hAnsi="Arial"/>
          <w:sz w:val="20"/>
          <w:szCs w:val="20"/>
        </w:rPr>
        <w:t>, Salz. (Kursiv gedruckte Zutaten enthalten potentiell allergene Stoffe.)</w:t>
      </w:r>
    </w:p>
    <w:p>
      <w:pPr>
        <w:pStyle w:val="Normal"/>
        <w:rPr>
          <w:rFonts w:ascii="Arial" w:hAnsi="Arial" w:cs="Arial"/>
          <w:sz w:val="20"/>
          <w:szCs w:val="20"/>
        </w:rPr>
      </w:pPr>
      <w:r>
        <w:rPr>
          <w:rFonts w:cs="Arial" w:ascii="Arial" w:hAnsi="Arial"/>
          <w:sz w:val="20"/>
          <w:szCs w:val="20"/>
        </w:rPr>
      </w:r>
    </w:p>
    <w:p>
      <w:pPr>
        <w:pStyle w:val="Normal"/>
        <w:rPr>
          <w:rFonts w:ascii="Arial" w:hAnsi="Arial" w:cs="Arial"/>
          <w:sz w:val="20"/>
          <w:szCs w:val="20"/>
        </w:rPr>
      </w:pPr>
      <w:r>
        <w:rPr>
          <w:rFonts w:cs="Arial" w:ascii="Arial" w:hAnsi="Arial"/>
          <w:sz w:val="20"/>
          <w:szCs w:val="20"/>
        </w:rPr>
      </w:r>
    </w:p>
    <w:p>
      <w:pPr>
        <w:pStyle w:val="Normal"/>
        <w:spacing w:before="0" w:after="160"/>
        <w:rPr/>
      </w:pPr>
      <w:r>
        <w:rPr/>
      </w:r>
    </w:p>
    <w:sectPr>
      <w:type w:val="nextPage"/>
      <w:pgSz w:w="11906" w:h="16838"/>
      <w:pgMar w:left="1417" w:right="1417" w:header="0" w:top="1417"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Eurostile Medium">
    <w:charset w:val="00"/>
    <w:family w:val="roman"/>
    <w:pitch w:val="variable"/>
  </w:font>
  <w:font w:name="Eurostile Bold Condensed">
    <w:charset w:val="00"/>
    <w:family w:val="roman"/>
    <w:pitch w:val="variable"/>
  </w:font>
  <w:font w:name="Eurostile Condensed">
    <w:charset w:val="00"/>
    <w:family w:val="roman"/>
    <w:pitch w:val="variable"/>
  </w:font>
  <w:font w:name="Arial">
    <w:charset w:val="00"/>
    <w:family w:val="roman"/>
    <w:pitch w:val="variable"/>
  </w:font>
  <w:font w:name="Arial">
    <w:charset w:val="01"/>
    <w:family w:val="swiss"/>
    <w:pitch w:val="variable"/>
  </w:font>
</w:fonts>
</file>

<file path=word/settings.xml><?xml version="1.0" encoding="utf-8"?>
<w:settings xmlns:w="http://schemas.openxmlformats.org/wordprocessingml/2006/main">
  <w:zoom w:percent="100"/>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de-DE"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fals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de-DE" w:eastAsia="en-US" w:bidi="ar-SA"/>
    </w:rPr>
  </w:style>
  <w:style w:type="character" w:styleId="DefaultParagraphFont" w:default="1">
    <w:name w:val="Default Paragraph Font"/>
    <w:uiPriority w:val="1"/>
    <w:semiHidden/>
    <w:unhideWhenUsed/>
    <w:qFormat/>
    <w:rPr/>
  </w:style>
  <w:style w:type="character" w:styleId="Weiss" w:customStyle="1">
    <w:name w:val="Weiss"/>
    <w:uiPriority w:val="99"/>
    <w:qFormat/>
    <w:rsid w:val="00383943"/>
    <w:rPr>
      <w:outline/>
      <w:sz w:val="11"/>
      <w:szCs w:val="11"/>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Funotenzeichen">
    <w:name w:val="Fußnotenzeichen"/>
    <w:qFormat/>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Liste">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MBlockHeadlineTabstart" w:customStyle="1">
    <w:name w:val="M_BlockHeadlineTabstart"/>
    <w:basedOn w:val="Normal"/>
    <w:uiPriority w:val="99"/>
    <w:qFormat/>
    <w:rsid w:val="00383943"/>
    <w:pPr>
      <w:spacing w:lineRule="auto" w:line="288" w:before="0" w:after="170"/>
      <w:textAlignment w:val="center"/>
    </w:pPr>
    <w:rPr>
      <w:rFonts w:ascii="Eurostile Medium" w:hAnsi="Eurostile Medium" w:cs="Eurostile Medium"/>
      <w:color w:val="000000"/>
      <w:sz w:val="20"/>
      <w:szCs w:val="20"/>
    </w:rPr>
  </w:style>
  <w:style w:type="paragraph" w:styleId="LBlockCondTextBold" w:customStyle="1">
    <w:name w:val="L_BlockCondTextBold"/>
    <w:basedOn w:val="Normal"/>
    <w:uiPriority w:val="99"/>
    <w:qFormat/>
    <w:rsid w:val="00383943"/>
    <w:pPr>
      <w:spacing w:lineRule="auto" w:line="288" w:before="142" w:after="57"/>
      <w:textAlignment w:val="center"/>
    </w:pPr>
    <w:rPr>
      <w:rFonts w:ascii="Eurostile Bold Condensed" w:hAnsi="Eurostile Bold Condensed" w:cs="Eurostile Bold Condensed"/>
      <w:b/>
      <w:bCs/>
      <w:color w:val="000000"/>
      <w:sz w:val="20"/>
      <w:szCs w:val="20"/>
    </w:rPr>
  </w:style>
  <w:style w:type="paragraph" w:styleId="LBlockCondListeNEU" w:customStyle="1">
    <w:name w:val="L_BlockCondListeNEU"/>
    <w:basedOn w:val="Normal"/>
    <w:uiPriority w:val="99"/>
    <w:qFormat/>
    <w:rsid w:val="00383943"/>
    <w:pPr>
      <w:tabs>
        <w:tab w:val="clear" w:pos="720"/>
        <w:tab w:val="left" w:pos="178" w:leader="none"/>
      </w:tabs>
      <w:spacing w:lineRule="auto" w:line="288" w:before="0" w:after="0"/>
      <w:textAlignment w:val="center"/>
    </w:pPr>
    <w:rPr>
      <w:rFonts w:ascii="Eurostile Condensed" w:hAnsi="Eurostile Condensed" w:cs="Eurostile Condensed"/>
      <w:color w:val="FFFFFF"/>
      <w:sz w:val="14"/>
      <w:szCs w:val="14"/>
    </w:rPr>
  </w:style>
  <w:style w:type="paragraph" w:styleId="ListParagraph">
    <w:name w:val="List Paragraph"/>
    <w:basedOn w:val="Normal"/>
    <w:uiPriority w:val="34"/>
    <w:qFormat/>
    <w:rsid w:val="00383943"/>
    <w:pPr>
      <w:spacing w:before="0" w:after="160"/>
      <w:ind w:left="720" w:hanging="0"/>
      <w:contextualSpacing/>
    </w:pPr>
    <w:rPr/>
  </w:style>
  <w:style w:type="paragraph" w:styleId="LTabCondTextRegular" w:customStyle="1">
    <w:name w:val="L_TabCondTextRegular"/>
    <w:basedOn w:val="Normal"/>
    <w:uiPriority w:val="99"/>
    <w:qFormat/>
    <w:rsid w:val="00383943"/>
    <w:pPr>
      <w:spacing w:lineRule="auto" w:line="288" w:before="0" w:after="0"/>
      <w:textAlignment w:val="center"/>
    </w:pPr>
    <w:rPr>
      <w:rFonts w:ascii="Eurostile Condensed" w:hAnsi="Eurostile Condensed" w:cs="Eurostile Condensed"/>
      <w:color w:val="000000"/>
      <w:sz w:val="20"/>
      <w:szCs w:val="20"/>
    </w:rPr>
  </w:style>
  <w:style w:type="paragraph" w:styleId="EinfAbs" w:customStyle="1">
    <w:name w:val="[Einf. Abs.]"/>
    <w:basedOn w:val="Normal"/>
    <w:uiPriority w:val="99"/>
    <w:qFormat/>
    <w:rsid w:val="0022446b"/>
    <w:pPr>
      <w:spacing w:lineRule="auto" w:line="288" w:before="0" w:after="0"/>
      <w:textAlignment w:val="center"/>
    </w:pPr>
    <w:rPr>
      <w:rFonts w:ascii="Times New Roman" w:hAnsi="Times New Roman" w:cs="Times New Roman"/>
      <w:color w:val="000000"/>
      <w:sz w:val="24"/>
      <w:szCs w:val="24"/>
    </w:rPr>
  </w:style>
  <w:style w:type="paragraph" w:styleId="MengentextCondText" w:customStyle="1">
    <w:name w:val="Mengentext_CondText"/>
    <w:basedOn w:val="Normal"/>
    <w:uiPriority w:val="99"/>
    <w:qFormat/>
    <w:rsid w:val="0022446b"/>
    <w:pPr>
      <w:spacing w:lineRule="auto" w:line="288" w:before="0" w:after="57"/>
      <w:textAlignment w:val="center"/>
    </w:pPr>
    <w:rPr>
      <w:rFonts w:ascii="Eurostile Condensed" w:hAnsi="Eurostile Condensed" w:cs="Eurostile Condensed"/>
      <w:color w:val="000000"/>
      <w:sz w:val="18"/>
      <w:szCs w:val="18"/>
    </w:rPr>
  </w:style>
  <w:style w:type="paragraph" w:styleId="SHinweistextMHD" w:customStyle="1">
    <w:name w:val="S_HinweistextMHD"/>
    <w:basedOn w:val="Normal"/>
    <w:uiPriority w:val="99"/>
    <w:qFormat/>
    <w:rsid w:val="0022446b"/>
    <w:pPr>
      <w:spacing w:lineRule="auto" w:line="288" w:before="0" w:after="0"/>
      <w:textAlignment w:val="center"/>
    </w:pPr>
    <w:rPr>
      <w:rFonts w:ascii="Eurostile Condensed" w:hAnsi="Eurostile Condensed" w:cs="Eurostile Condensed"/>
      <w:color w:val="EC741A"/>
      <w:sz w:val="11"/>
      <w:szCs w:val="11"/>
    </w:rPr>
  </w:style>
  <w:style w:type="paragraph" w:styleId="KeinAbsatzformat">
    <w:name w:val="[Kein Absatzformat]"/>
    <w:qFormat/>
    <w:pPr>
      <w:widowControl/>
      <w:suppressAutoHyphens w:val="false"/>
      <w:bidi w:val="0"/>
      <w:spacing w:lineRule="auto" w:line="288" w:before="0" w:after="0"/>
      <w:jc w:val="left"/>
      <w:textAlignment w:val="center"/>
    </w:pPr>
    <w:rPr>
      <w:rFonts w:ascii="Times New Roman" w:hAnsi="Times New Roman" w:eastAsia="Calibri" w:cs=""/>
      <w:b w:val="false"/>
      <w:i w:val="false"/>
      <w:strike w:val="false"/>
      <w:dstrike w:val="false"/>
      <w:color w:val="000000"/>
      <w:spacing w:val="0"/>
      <w:w w:val="100"/>
      <w:kern w:val="0"/>
      <w:sz w:val="24"/>
      <w:szCs w:val="22"/>
      <w:u w:val="none"/>
      <w:em w:val="none"/>
      <w:lang w:val="de-DE" w:eastAsia="en-US" w:bidi="ar-SA"/>
    </w:rPr>
  </w:style>
  <w:style w:type="paragraph" w:styleId="MHinweistextMHD">
    <w:name w:val="M_HinweistextMHD"/>
    <w:basedOn w:val="KeinAbsatzformat"/>
    <w:qFormat/>
    <w:pPr/>
    <w:rPr>
      <w:rFonts w:ascii="Eurostile Condensed" w:hAnsi="Eurostile Condensed"/>
      <w:color w:val="EC741A"/>
      <w:sz w:val="13"/>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LibreOffice/6.2.7.1$Windows_X86_64 LibreOffice_project/23edc44b61b830b7d749943e020e96f5a7df63bf</Application>
  <Pages>1</Pages>
  <Words>245</Words>
  <Characters>1286</Characters>
  <CharactersWithSpaces>1479</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2020-08-06T09:44:00Z</dcterms:created>
  <dc:creator>Sandra Fuhrmann |  Dualfilm GmbH</dc:creator>
  <dc:description/>
  <dc:language>de-DE</dc:language>
  <cp:lastModifiedBy/>
  <dcterms:modified xsi:type="dcterms:W3CDTF">2022-02-04T11:01:37Z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